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42" w:rsidRPr="008F5840" w:rsidRDefault="00F65342" w:rsidP="00F65342">
      <w:pPr>
        <w:ind w:left="5760" w:hanging="3600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DECISION NUMBER</w:t>
      </w:r>
      <w:r w:rsidRPr="008F5840">
        <w:rPr>
          <w:rFonts w:ascii="Times New Roman" w:hAnsi="Times New Roman"/>
          <w:b/>
          <w:sz w:val="22"/>
          <w:szCs w:val="22"/>
        </w:rPr>
        <w:tab/>
        <w:t>1241/2020</w:t>
      </w:r>
    </w:p>
    <w:p w:rsidR="00F65342" w:rsidRPr="008F5840" w:rsidRDefault="00F65342" w:rsidP="00F65342">
      <w:pPr>
        <w:ind w:left="5760" w:hanging="3600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ind w:left="5760" w:hanging="3600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IN THE MATTER</w:t>
      </w:r>
      <w:r w:rsidRPr="008F5840">
        <w:rPr>
          <w:sz w:val="22"/>
          <w:szCs w:val="22"/>
        </w:rPr>
        <w:tab/>
      </w:r>
      <w:r w:rsidRPr="008F5840">
        <w:rPr>
          <w:rFonts w:ascii="Times New Roman" w:hAnsi="Times New Roman"/>
          <w:sz w:val="22"/>
          <w:szCs w:val="22"/>
        </w:rPr>
        <w:t>of the Sale and Supply of Alcohol Act 2012</w:t>
      </w:r>
    </w:p>
    <w:p w:rsidR="00F65342" w:rsidRPr="008F5840" w:rsidRDefault="00F65342" w:rsidP="00F65342">
      <w:pPr>
        <w:ind w:left="5760" w:hanging="2880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ind w:left="1440" w:firstLine="720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AND</w:t>
      </w:r>
    </w:p>
    <w:p w:rsidR="00F65342" w:rsidRPr="008F5840" w:rsidRDefault="00F65342" w:rsidP="00F65342">
      <w:pPr>
        <w:ind w:left="5760" w:hanging="2880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ind w:left="5040" w:hanging="3600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ind w:left="5760" w:hanging="3600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IN THE MATTER</w:t>
      </w:r>
      <w:r w:rsidRPr="008F5840">
        <w:rPr>
          <w:rFonts w:ascii="Times New Roman" w:hAnsi="Times New Roman"/>
          <w:sz w:val="22"/>
          <w:szCs w:val="22"/>
        </w:rPr>
        <w:tab/>
        <w:t xml:space="preserve">of an application by </w:t>
      </w:r>
      <w:r w:rsidRPr="008F5840">
        <w:rPr>
          <w:rFonts w:ascii="Times New Roman" w:hAnsi="Times New Roman"/>
          <w:b/>
          <w:sz w:val="22"/>
          <w:szCs w:val="22"/>
        </w:rPr>
        <w:t xml:space="preserve">Art Deco Masonic Limited </w:t>
      </w:r>
      <w:r w:rsidRPr="008F5840">
        <w:rPr>
          <w:rFonts w:ascii="Times New Roman" w:hAnsi="Times New Roman"/>
          <w:sz w:val="22"/>
          <w:szCs w:val="22"/>
        </w:rPr>
        <w:t>for a renewal of On Licence pursuant to section 127 of the Supply of Alcohol Act 2012.</w:t>
      </w:r>
    </w:p>
    <w:p w:rsidR="00F65342" w:rsidRPr="008F5840" w:rsidRDefault="00F65342" w:rsidP="00F65342">
      <w:pPr>
        <w:ind w:left="5040" w:hanging="3600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ind w:left="5040" w:hanging="5040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F5840">
        <w:rPr>
          <w:rFonts w:ascii="Times New Roman" w:hAnsi="Times New Roman"/>
          <w:b/>
          <w:sz w:val="22"/>
          <w:szCs w:val="22"/>
          <w:u w:val="single"/>
        </w:rPr>
        <w:t>BEFORE THE NAPIER DISTRICT LICENSING COMMITTEE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application for renewal of On Licence (030/ON/1241/2017) was publically advertised in the Hawkes Bay Today on </w:t>
      </w:r>
      <w:proofErr w:type="gramStart"/>
      <w:r w:rsidRPr="008F5840">
        <w:rPr>
          <w:rFonts w:ascii="Times New Roman" w:hAnsi="Times New Roman"/>
          <w:sz w:val="22"/>
          <w:szCs w:val="22"/>
        </w:rPr>
        <w:t>4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and 11 August 2020 along with a display notice attached to the premise in accordance with the Regulations, with no objections received.</w:t>
      </w:r>
    </w:p>
    <w:p w:rsidR="00F65342" w:rsidRPr="008F5840" w:rsidRDefault="00F65342" w:rsidP="00F65342">
      <w:pPr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As no matters of opposition were raised under section 102 and 103 </w:t>
      </w:r>
      <w:proofErr w:type="gramStart"/>
      <w:r w:rsidRPr="008F5840">
        <w:rPr>
          <w:rFonts w:ascii="Times New Roman" w:hAnsi="Times New Roman"/>
          <w:sz w:val="22"/>
          <w:szCs w:val="22"/>
        </w:rPr>
        <w:t>reports;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therefore the matter was considered by the Napier District Licensing Commissioner on the papers contained in the full file provided by the secretary. </w:t>
      </w:r>
    </w:p>
    <w:p w:rsidR="00F65342" w:rsidRPr="008F5840" w:rsidRDefault="00F65342" w:rsidP="00F65342">
      <w:pPr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Commissioner:</w:t>
      </w:r>
      <w:r w:rsidRPr="008F5840">
        <w:rPr>
          <w:rFonts w:ascii="Times New Roman" w:hAnsi="Times New Roman"/>
          <w:b/>
          <w:sz w:val="22"/>
          <w:szCs w:val="22"/>
        </w:rPr>
        <w:tab/>
        <w:t>Stuart Hylton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F5840">
        <w:rPr>
          <w:rFonts w:ascii="Times New Roman" w:hAnsi="Times New Roman"/>
          <w:b/>
          <w:sz w:val="22"/>
          <w:szCs w:val="22"/>
          <w:u w:val="single"/>
        </w:rPr>
        <w:t>RESERVED DECISION OF THE NAPIER DISTRICT LICENSING COMMITTEE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65342" w:rsidRPr="008F5840" w:rsidRDefault="00F65342" w:rsidP="008F5840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Application</w:t>
      </w:r>
    </w:p>
    <w:p w:rsidR="00F65342" w:rsidRPr="008F5840" w:rsidRDefault="00F65342" w:rsidP="008F5840">
      <w:pPr>
        <w:tabs>
          <w:tab w:val="left" w:pos="284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On the 31 July 2020, </w:t>
      </w:r>
      <w:r w:rsidRPr="008F5840">
        <w:rPr>
          <w:rFonts w:ascii="Times New Roman" w:hAnsi="Times New Roman"/>
          <w:b/>
          <w:sz w:val="22"/>
          <w:szCs w:val="22"/>
        </w:rPr>
        <w:t>Art Deco Masonic Limited</w:t>
      </w:r>
      <w:r w:rsidRPr="008F5840">
        <w:rPr>
          <w:rFonts w:ascii="Times New Roman" w:hAnsi="Times New Roman"/>
          <w:sz w:val="22"/>
          <w:szCs w:val="22"/>
        </w:rPr>
        <w:t xml:space="preserve"> on the prescribed form made application for renewal of an On-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. </w:t>
      </w:r>
    </w:p>
    <w:p w:rsidR="00F65342" w:rsidRPr="008F5840" w:rsidRDefault="00F65342" w:rsidP="008F5840">
      <w:pPr>
        <w:tabs>
          <w:tab w:val="left" w:pos="284"/>
        </w:tabs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application for renewal of On-Licence is in relation to the premises known as </w:t>
      </w:r>
      <w:r w:rsidRPr="008F5840">
        <w:rPr>
          <w:rFonts w:ascii="Times New Roman" w:hAnsi="Times New Roman"/>
          <w:i/>
          <w:sz w:val="22"/>
          <w:szCs w:val="22"/>
        </w:rPr>
        <w:t xml:space="preserve">‘The Rose Irish Pub’ </w:t>
      </w:r>
      <w:r w:rsidRPr="008F5840">
        <w:rPr>
          <w:rFonts w:ascii="Times New Roman" w:hAnsi="Times New Roman"/>
          <w:sz w:val="22"/>
          <w:szCs w:val="22"/>
        </w:rPr>
        <w:t xml:space="preserve">situated at 2 Tennyson Street, Napier South, Napier. 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 general nature of the business is that of a ‘Tavern</w:t>
      </w:r>
      <w:r w:rsidR="0026451E" w:rsidRPr="008F5840">
        <w:rPr>
          <w:rFonts w:ascii="Times New Roman" w:hAnsi="Times New Roman"/>
          <w:sz w:val="22"/>
          <w:szCs w:val="22"/>
        </w:rPr>
        <w:t xml:space="preserve"> Style On-</w:t>
      </w:r>
      <w:proofErr w:type="spellStart"/>
      <w:r w:rsidR="0026451E" w:rsidRPr="008F5840">
        <w:rPr>
          <w:rFonts w:ascii="Times New Roman" w:hAnsi="Times New Roman"/>
          <w:sz w:val="22"/>
          <w:szCs w:val="22"/>
        </w:rPr>
        <w:t>l</w:t>
      </w:r>
      <w:r w:rsidRPr="008F5840">
        <w:rPr>
          <w:rFonts w:ascii="Times New Roman" w:hAnsi="Times New Roman"/>
          <w:sz w:val="22"/>
          <w:szCs w:val="22"/>
        </w:rPr>
        <w:t>icence</w:t>
      </w:r>
      <w:proofErr w:type="spellEnd"/>
      <w:r w:rsidRPr="008F5840">
        <w:rPr>
          <w:rFonts w:ascii="Times New Roman" w:hAnsi="Times New Roman"/>
          <w:sz w:val="22"/>
          <w:szCs w:val="22"/>
        </w:rPr>
        <w:t>’. The application seeks to renew with the same existing conditions. The premise has not come to the notice of authorities in an adverse manner during the renewal period.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 complete file included –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 application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Fire evacuation compliance statement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Host Responsibility Plan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Food/Drinks list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Floor plan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Photo’s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Copy of draft public notice and public display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Existing Licence</w:t>
      </w:r>
    </w:p>
    <w:p w:rsidR="00F65342" w:rsidRPr="008F5840" w:rsidRDefault="00F65342" w:rsidP="008F5840">
      <w:pPr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Reports from Police, Medical Officer of Health and Inspector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Decision Making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In considering this application for </w:t>
      </w:r>
      <w:proofErr w:type="gramStart"/>
      <w:r w:rsidRPr="008F5840">
        <w:rPr>
          <w:rFonts w:ascii="Times New Roman" w:hAnsi="Times New Roman"/>
          <w:sz w:val="22"/>
          <w:szCs w:val="22"/>
        </w:rPr>
        <w:t>On-Licence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the licensing committee had regard to the criteria under section 131 and 105 of the Act. Section 105 assessments were made using the inspector’s full report and own assessment. I accept the inspector’s assessment and recommendations.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Key matters raised in complete file including the inspector’s report were –</w:t>
      </w:r>
    </w:p>
    <w:p w:rsidR="00F65342" w:rsidRPr="008F5840" w:rsidRDefault="00F65342" w:rsidP="00F65342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applicant is a private company who have operated this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 without known iss</w:t>
      </w:r>
      <w:r w:rsidR="0026451E" w:rsidRPr="008F5840">
        <w:rPr>
          <w:rFonts w:ascii="Times New Roman" w:hAnsi="Times New Roman"/>
          <w:sz w:val="22"/>
          <w:szCs w:val="22"/>
        </w:rPr>
        <w:t>ues. The applicant has named four</w:t>
      </w:r>
      <w:r w:rsidRPr="008F584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F5840">
        <w:rPr>
          <w:rFonts w:ascii="Times New Roman" w:hAnsi="Times New Roman"/>
          <w:sz w:val="22"/>
          <w:szCs w:val="22"/>
        </w:rPr>
        <w:t>manager</w:t>
      </w:r>
      <w:r w:rsidR="0026451E" w:rsidRPr="008F5840">
        <w:rPr>
          <w:rFonts w:ascii="Times New Roman" w:hAnsi="Times New Roman"/>
          <w:sz w:val="22"/>
          <w:szCs w:val="22"/>
        </w:rPr>
        <w:t>’s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for the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 which is seen as ade</w:t>
      </w:r>
      <w:r w:rsidR="0026451E" w:rsidRPr="008F5840">
        <w:rPr>
          <w:rFonts w:ascii="Times New Roman" w:hAnsi="Times New Roman"/>
          <w:sz w:val="22"/>
          <w:szCs w:val="22"/>
        </w:rPr>
        <w:t xml:space="preserve">quate for this type of </w:t>
      </w:r>
      <w:proofErr w:type="spellStart"/>
      <w:r w:rsidR="0026451E"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. 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premise has not come to the notice of authorities in an adverse manner during the renewal period. 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applicant provided a host responsibility plan that if followed should ensure the object of the act </w:t>
      </w:r>
      <w:proofErr w:type="gramStart"/>
      <w:r w:rsidRPr="008F5840">
        <w:rPr>
          <w:rFonts w:ascii="Times New Roman" w:hAnsi="Times New Roman"/>
          <w:sz w:val="22"/>
          <w:szCs w:val="22"/>
        </w:rPr>
        <w:t>is met</w:t>
      </w:r>
      <w:proofErr w:type="gramEnd"/>
      <w:r w:rsidRPr="008F5840">
        <w:rPr>
          <w:rFonts w:ascii="Times New Roman" w:hAnsi="Times New Roman"/>
          <w:sz w:val="22"/>
          <w:szCs w:val="22"/>
        </w:rPr>
        <w:t>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 applicant appears to have appropriate systems, staff and training to comply with the law.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There were no reports questioning suitability and neither do I. 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 current hours wanting to be renewed are -</w:t>
      </w:r>
    </w:p>
    <w:p w:rsidR="00F65342" w:rsidRPr="008F5840" w:rsidRDefault="00F65342" w:rsidP="008F5840">
      <w:pPr>
        <w:pStyle w:val="ListParagraph"/>
        <w:ind w:left="1134" w:hanging="567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ind w:left="1134"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Monday to Sunday, between 8.00am to 2.00am the following day.</w:t>
      </w:r>
    </w:p>
    <w:p w:rsidR="00F65342" w:rsidRPr="008F5840" w:rsidRDefault="00F65342" w:rsidP="008F5840">
      <w:pPr>
        <w:ind w:left="1134"/>
        <w:jc w:val="both"/>
        <w:rPr>
          <w:rFonts w:ascii="Times New Roman" w:hAnsi="Times New Roman"/>
          <w:b/>
          <w:sz w:val="22"/>
          <w:szCs w:val="22"/>
        </w:rPr>
      </w:pPr>
    </w:p>
    <w:p w:rsidR="00F65342" w:rsidRDefault="00F65342" w:rsidP="008F5840">
      <w:pPr>
        <w:ind w:left="1134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>These hours are within the default maximum trading hours allowable and are not opposed to by the inspector.</w:t>
      </w:r>
    </w:p>
    <w:p w:rsidR="008F5840" w:rsidRPr="008F5840" w:rsidRDefault="008F5840" w:rsidP="008F5840">
      <w:pPr>
        <w:ind w:left="1134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Floor plan provided works well for the nature of the business held on the premises. The </w:t>
      </w:r>
      <w:r w:rsidR="0026451E" w:rsidRPr="008F5840">
        <w:rPr>
          <w:rFonts w:ascii="Times New Roman" w:hAnsi="Times New Roman"/>
          <w:sz w:val="22"/>
          <w:szCs w:val="22"/>
        </w:rPr>
        <w:t xml:space="preserve">whole </w:t>
      </w:r>
      <w:r w:rsidRPr="008F5840">
        <w:rPr>
          <w:rFonts w:ascii="Times New Roman" w:hAnsi="Times New Roman"/>
          <w:sz w:val="22"/>
          <w:szCs w:val="22"/>
        </w:rPr>
        <w:t>premise will continue to be</w:t>
      </w:r>
      <w:r w:rsidR="0026451E" w:rsidRPr="008F5840">
        <w:rPr>
          <w:rFonts w:ascii="Times New Roman" w:hAnsi="Times New Roman"/>
          <w:sz w:val="22"/>
          <w:szCs w:val="22"/>
        </w:rPr>
        <w:t xml:space="preserve"> designated </w:t>
      </w:r>
      <w:proofErr w:type="gramStart"/>
      <w:r w:rsidR="0026451E" w:rsidRPr="008F5840">
        <w:rPr>
          <w:rFonts w:ascii="Times New Roman" w:hAnsi="Times New Roman"/>
          <w:sz w:val="22"/>
          <w:szCs w:val="22"/>
        </w:rPr>
        <w:t>‘supervised</w:t>
      </w:r>
      <w:r w:rsidRPr="008F5840">
        <w:rPr>
          <w:rFonts w:ascii="Times New Roman" w:hAnsi="Times New Roman"/>
          <w:sz w:val="22"/>
          <w:szCs w:val="22"/>
        </w:rPr>
        <w:t xml:space="preserve">’ </w:t>
      </w:r>
      <w:r w:rsidR="0026451E" w:rsidRPr="008F5840">
        <w:rPr>
          <w:rFonts w:ascii="Times New Roman" w:hAnsi="Times New Roman"/>
          <w:sz w:val="22"/>
          <w:szCs w:val="22"/>
        </w:rPr>
        <w:t>which</w:t>
      </w:r>
      <w:proofErr w:type="gramEnd"/>
      <w:r w:rsidR="0026451E" w:rsidRPr="008F5840">
        <w:rPr>
          <w:rFonts w:ascii="Times New Roman" w:hAnsi="Times New Roman"/>
          <w:sz w:val="22"/>
          <w:szCs w:val="22"/>
        </w:rPr>
        <w:t xml:space="preserve"> is normal for a tavern</w:t>
      </w:r>
      <w:r w:rsidRPr="008F5840">
        <w:rPr>
          <w:rFonts w:ascii="Times New Roman" w:hAnsi="Times New Roman"/>
          <w:sz w:val="22"/>
          <w:szCs w:val="22"/>
        </w:rPr>
        <w:t xml:space="preserve"> type ON-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>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No </w:t>
      </w:r>
      <w:proofErr w:type="gramStart"/>
      <w:r w:rsidRPr="008F5840">
        <w:rPr>
          <w:rFonts w:ascii="Times New Roman" w:hAnsi="Times New Roman"/>
          <w:sz w:val="22"/>
          <w:szCs w:val="22"/>
        </w:rPr>
        <w:t>CPTED or amenity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or good order issues raised with renewal. There is no reason to believe the amenity and good order of the locality would likely to </w:t>
      </w:r>
      <w:proofErr w:type="gramStart"/>
      <w:r w:rsidRPr="008F5840">
        <w:rPr>
          <w:rFonts w:ascii="Times New Roman" w:hAnsi="Times New Roman"/>
          <w:sz w:val="22"/>
          <w:szCs w:val="22"/>
        </w:rPr>
        <w:t>be increased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, more than a minor extent, by the effects of a refusal to renew the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>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3"/>
        </w:numPr>
        <w:ind w:left="1134" w:hanging="567"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applicant has satisfactory systems for staff training and performance. </w:t>
      </w:r>
    </w:p>
    <w:p w:rsidR="00F65342" w:rsidRPr="008F5840" w:rsidRDefault="00F65342" w:rsidP="008F5840">
      <w:pPr>
        <w:pStyle w:val="ListParagraph"/>
        <w:ind w:left="1134" w:hanging="567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ind w:left="1134" w:right="240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F5840">
        <w:rPr>
          <w:rFonts w:ascii="inherit" w:hAnsi="inherit"/>
          <w:color w:val="000000"/>
          <w:sz w:val="22"/>
          <w:szCs w:val="22"/>
          <w:bdr w:val="none" w:sz="0" w:space="0" w:color="auto" w:frame="1"/>
          <w:lang w:val="en-AU"/>
        </w:rPr>
        <w:t>The application accords with the Napier LAP.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Reporting Agencies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following reports </w:t>
      </w:r>
      <w:proofErr w:type="gramStart"/>
      <w:r w:rsidRPr="008F5840">
        <w:rPr>
          <w:rFonts w:ascii="Times New Roman" w:hAnsi="Times New Roman"/>
          <w:sz w:val="22"/>
          <w:szCs w:val="22"/>
        </w:rPr>
        <w:t>were received under section 103 of the Act and taken into account during the decision</w:t>
      </w:r>
      <w:proofErr w:type="gramEnd"/>
      <w:r w:rsidRPr="008F5840">
        <w:rPr>
          <w:rFonts w:ascii="Times New Roman" w:hAnsi="Times New Roman"/>
          <w:sz w:val="22"/>
          <w:szCs w:val="22"/>
        </w:rPr>
        <w:t>.</w:t>
      </w:r>
    </w:p>
    <w:p w:rsidR="00F65342" w:rsidRPr="008F5840" w:rsidRDefault="00F65342" w:rsidP="00F65342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8F5840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3.1   </w:t>
      </w:r>
      <w:r>
        <w:rPr>
          <w:rFonts w:ascii="Times New Roman" w:hAnsi="Times New Roman"/>
          <w:b/>
          <w:sz w:val="22"/>
          <w:szCs w:val="22"/>
        </w:rPr>
        <w:tab/>
      </w:r>
      <w:r w:rsidR="00F65342" w:rsidRPr="008F5840">
        <w:rPr>
          <w:rFonts w:ascii="Times New Roman" w:hAnsi="Times New Roman"/>
          <w:b/>
          <w:sz w:val="22"/>
          <w:szCs w:val="22"/>
        </w:rPr>
        <w:t xml:space="preserve">Police </w:t>
      </w:r>
      <w:r w:rsidR="001E4ED0" w:rsidRPr="008F5840">
        <w:rPr>
          <w:rFonts w:ascii="Times New Roman" w:hAnsi="Times New Roman"/>
          <w:sz w:val="22"/>
          <w:szCs w:val="22"/>
        </w:rPr>
        <w:t>– Report received on 19 August</w:t>
      </w:r>
      <w:r w:rsidR="00F65342" w:rsidRPr="008F5840">
        <w:rPr>
          <w:rFonts w:ascii="Times New Roman" w:hAnsi="Times New Roman"/>
          <w:sz w:val="22"/>
          <w:szCs w:val="22"/>
        </w:rPr>
        <w:t xml:space="preserve"> 2020, of no opposition.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 xml:space="preserve">3.2   </w:t>
      </w:r>
      <w:r w:rsidR="008F5840">
        <w:rPr>
          <w:rFonts w:ascii="Times New Roman" w:hAnsi="Times New Roman"/>
          <w:b/>
          <w:sz w:val="22"/>
          <w:szCs w:val="22"/>
        </w:rPr>
        <w:tab/>
      </w:r>
      <w:r w:rsidRPr="008F5840">
        <w:rPr>
          <w:rFonts w:ascii="Times New Roman" w:hAnsi="Times New Roman"/>
          <w:b/>
          <w:sz w:val="22"/>
          <w:szCs w:val="22"/>
        </w:rPr>
        <w:t xml:space="preserve">Medical Officer of Health – </w:t>
      </w:r>
      <w:r w:rsidR="001E4ED0" w:rsidRPr="008F5840">
        <w:rPr>
          <w:rFonts w:ascii="Times New Roman" w:hAnsi="Times New Roman"/>
          <w:sz w:val="22"/>
          <w:szCs w:val="22"/>
        </w:rPr>
        <w:t>Report received on 6 August</w:t>
      </w:r>
      <w:r w:rsidRPr="008F5840">
        <w:rPr>
          <w:rFonts w:ascii="Times New Roman" w:hAnsi="Times New Roman"/>
          <w:sz w:val="22"/>
          <w:szCs w:val="22"/>
        </w:rPr>
        <w:t xml:space="preserve"> 2020, of no opposition.</w:t>
      </w: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 xml:space="preserve">3.3   </w:t>
      </w:r>
      <w:r w:rsidR="008F5840">
        <w:rPr>
          <w:rFonts w:ascii="Times New Roman" w:hAnsi="Times New Roman"/>
          <w:b/>
          <w:sz w:val="22"/>
          <w:szCs w:val="22"/>
        </w:rPr>
        <w:tab/>
      </w:r>
      <w:r w:rsidRPr="008F5840">
        <w:rPr>
          <w:rFonts w:ascii="Times New Roman" w:hAnsi="Times New Roman"/>
          <w:b/>
          <w:sz w:val="22"/>
          <w:szCs w:val="22"/>
        </w:rPr>
        <w:t xml:space="preserve">Licensing Inspector – </w:t>
      </w:r>
      <w:r w:rsidR="001E4ED0" w:rsidRPr="008F5840">
        <w:rPr>
          <w:rFonts w:ascii="Times New Roman" w:hAnsi="Times New Roman"/>
          <w:sz w:val="22"/>
          <w:szCs w:val="22"/>
        </w:rPr>
        <w:t>Full report dated 10 September</w:t>
      </w:r>
      <w:r w:rsidRPr="008F5840">
        <w:rPr>
          <w:rFonts w:ascii="Times New Roman" w:hAnsi="Times New Roman"/>
          <w:sz w:val="22"/>
          <w:szCs w:val="22"/>
        </w:rPr>
        <w:t xml:space="preserve"> 2020. </w:t>
      </w:r>
      <w:proofErr w:type="gramStart"/>
      <w:r w:rsidRPr="008F5840">
        <w:rPr>
          <w:rFonts w:ascii="Times New Roman" w:hAnsi="Times New Roman"/>
          <w:sz w:val="22"/>
          <w:szCs w:val="22"/>
        </w:rPr>
        <w:t>The inspector has no opposition to the application and assessed the application against s. 105 matters with no matters of opposition raised.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The inspector concludes that the application is complete and recommends renewal of the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 with existing conditions.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Conclusion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8F5840">
        <w:rPr>
          <w:rFonts w:ascii="Times New Roman" w:hAnsi="Times New Roman"/>
          <w:sz w:val="22"/>
          <w:szCs w:val="22"/>
        </w:rPr>
        <w:t xml:space="preserve">Based on the evidence provided to me within the complete file, my assessment above of section 105 matters and the past operation of the premise/licensee, I conclude that the application by </w:t>
      </w:r>
      <w:r w:rsidR="001E4ED0" w:rsidRPr="008F5840">
        <w:rPr>
          <w:rFonts w:ascii="Times New Roman" w:hAnsi="Times New Roman"/>
          <w:b/>
          <w:sz w:val="22"/>
          <w:szCs w:val="22"/>
        </w:rPr>
        <w:t xml:space="preserve">Art </w:t>
      </w:r>
      <w:r w:rsidR="001E4ED0" w:rsidRPr="008F5840">
        <w:rPr>
          <w:rFonts w:ascii="Times New Roman" w:hAnsi="Times New Roman"/>
          <w:b/>
          <w:sz w:val="22"/>
          <w:szCs w:val="22"/>
        </w:rPr>
        <w:lastRenderedPageBreak/>
        <w:t>Deco Masonic Limited</w:t>
      </w:r>
      <w:r w:rsidR="001E4ED0" w:rsidRPr="008F5840">
        <w:rPr>
          <w:rFonts w:ascii="Times New Roman" w:hAnsi="Times New Roman"/>
          <w:sz w:val="22"/>
          <w:szCs w:val="22"/>
        </w:rPr>
        <w:t xml:space="preserve"> </w:t>
      </w:r>
      <w:r w:rsidRPr="008F5840">
        <w:rPr>
          <w:rFonts w:ascii="Times New Roman" w:hAnsi="Times New Roman"/>
          <w:sz w:val="22"/>
          <w:szCs w:val="22"/>
        </w:rPr>
        <w:t xml:space="preserve">meets the statutory criteria to be granted a renewal of On-Licence under the Act for a period of three (3) years, from the expiry date of the previous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>.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</w:t>
      </w: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r w:rsidRPr="008F5840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Pr="008F5840">
        <w:rPr>
          <w:rFonts w:ascii="Times New Roman" w:hAnsi="Times New Roman"/>
          <w:sz w:val="22"/>
          <w:szCs w:val="22"/>
        </w:rPr>
        <w:t>licence</w:t>
      </w:r>
      <w:proofErr w:type="spellEnd"/>
      <w:r w:rsidRPr="008F5840">
        <w:rPr>
          <w:rFonts w:ascii="Times New Roman" w:hAnsi="Times New Roman"/>
          <w:sz w:val="22"/>
          <w:szCs w:val="22"/>
        </w:rPr>
        <w:t xml:space="preserve"> </w:t>
      </w:r>
      <w:r w:rsidR="001E4ED0" w:rsidRPr="008F5840">
        <w:rPr>
          <w:rFonts w:ascii="Times New Roman" w:hAnsi="Times New Roman"/>
          <w:sz w:val="22"/>
          <w:szCs w:val="22"/>
        </w:rPr>
        <w:t>will be subject to the same existing conditions.</w:t>
      </w:r>
    </w:p>
    <w:p w:rsidR="00F65342" w:rsidRPr="008F5840" w:rsidRDefault="00F65342" w:rsidP="00F65342">
      <w:pPr>
        <w:rPr>
          <w:rFonts w:ascii="Times New Roman" w:hAnsi="Times New Roman"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Decision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8F5840">
      <w:pPr>
        <w:ind w:left="567"/>
        <w:jc w:val="both"/>
        <w:rPr>
          <w:rFonts w:ascii="Times New Roman" w:hAnsi="Times New Roman"/>
          <w:sz w:val="22"/>
          <w:szCs w:val="22"/>
        </w:rPr>
      </w:pPr>
      <w:bookmarkStart w:id="0" w:name="_GoBack"/>
      <w:proofErr w:type="gramStart"/>
      <w:r w:rsidRPr="008F5840">
        <w:rPr>
          <w:rFonts w:ascii="Times New Roman" w:hAnsi="Times New Roman"/>
          <w:sz w:val="22"/>
          <w:szCs w:val="22"/>
        </w:rPr>
        <w:t>Accordingly</w:t>
      </w:r>
      <w:proofErr w:type="gramEnd"/>
      <w:r w:rsidRPr="008F5840">
        <w:rPr>
          <w:rFonts w:ascii="Times New Roman" w:hAnsi="Times New Roman"/>
          <w:sz w:val="22"/>
          <w:szCs w:val="22"/>
        </w:rPr>
        <w:t xml:space="preserve"> the application is</w:t>
      </w:r>
      <w:r w:rsidRPr="008F5840">
        <w:rPr>
          <w:rFonts w:ascii="Times New Roman" w:hAnsi="Times New Roman"/>
          <w:b/>
          <w:sz w:val="22"/>
          <w:szCs w:val="22"/>
        </w:rPr>
        <w:t xml:space="preserve"> Approved </w:t>
      </w:r>
      <w:r w:rsidRPr="008F5840">
        <w:rPr>
          <w:rFonts w:ascii="Times New Roman" w:hAnsi="Times New Roman"/>
          <w:sz w:val="22"/>
          <w:szCs w:val="22"/>
        </w:rPr>
        <w:t>for issue immediately.</w:t>
      </w:r>
    </w:p>
    <w:bookmarkEnd w:id="0"/>
    <w:p w:rsidR="00F65342" w:rsidRPr="008F5840" w:rsidRDefault="00F65342" w:rsidP="00F65342">
      <w:pPr>
        <w:jc w:val="both"/>
        <w:rPr>
          <w:rFonts w:ascii="Times New Roman" w:hAnsi="Times New Roman"/>
          <w:sz w:val="22"/>
          <w:szCs w:val="22"/>
        </w:rPr>
      </w:pPr>
    </w:p>
    <w:p w:rsidR="00F65342" w:rsidRPr="008F5840" w:rsidRDefault="001E4ED0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Dated at Napier District this 16 day of September</w:t>
      </w:r>
      <w:r w:rsidR="00F65342" w:rsidRPr="008F5840">
        <w:rPr>
          <w:rFonts w:ascii="Times New Roman" w:hAnsi="Times New Roman"/>
          <w:b/>
          <w:sz w:val="22"/>
          <w:szCs w:val="22"/>
        </w:rPr>
        <w:t xml:space="preserve"> 2020.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Signed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noProof/>
          <w:sz w:val="22"/>
          <w:szCs w:val="22"/>
          <w:lang w:val="en-NZ" w:eastAsia="en-NZ"/>
        </w:rPr>
        <w:drawing>
          <wp:inline distT="0" distB="0" distL="0" distR="0">
            <wp:extent cx="20478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………………………………………………….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Stuart Hylton</w:t>
      </w:r>
    </w:p>
    <w:p w:rsidR="00F65342" w:rsidRPr="008F5840" w:rsidRDefault="00F65342" w:rsidP="00F65342">
      <w:pPr>
        <w:jc w:val="both"/>
        <w:rPr>
          <w:rFonts w:ascii="Times New Roman" w:hAnsi="Times New Roman"/>
          <w:b/>
          <w:sz w:val="22"/>
          <w:szCs w:val="22"/>
        </w:rPr>
      </w:pPr>
      <w:r w:rsidRPr="008F5840">
        <w:rPr>
          <w:rFonts w:ascii="Times New Roman" w:hAnsi="Times New Roman"/>
          <w:b/>
          <w:sz w:val="22"/>
          <w:szCs w:val="22"/>
        </w:rPr>
        <w:t>Napier District Licensing Commissioner</w:t>
      </w: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F65342" w:rsidRPr="008F5840" w:rsidRDefault="00F65342" w:rsidP="00F65342">
      <w:pPr>
        <w:rPr>
          <w:sz w:val="22"/>
          <w:szCs w:val="22"/>
        </w:rPr>
      </w:pPr>
    </w:p>
    <w:p w:rsidR="00352E5E" w:rsidRPr="008F5840" w:rsidRDefault="00352E5E">
      <w:pPr>
        <w:rPr>
          <w:sz w:val="22"/>
          <w:szCs w:val="22"/>
        </w:rPr>
      </w:pPr>
    </w:p>
    <w:sectPr w:rsidR="00352E5E" w:rsidRPr="008F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A93"/>
    <w:multiLevelType w:val="multilevel"/>
    <w:tmpl w:val="05CA9582"/>
    <w:lvl w:ilvl="0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627"/>
        </w:tabs>
        <w:ind w:left="86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067"/>
        </w:tabs>
        <w:ind w:left="100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787"/>
        </w:tabs>
        <w:ind w:left="107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37B59"/>
    <w:multiLevelType w:val="multilevel"/>
    <w:tmpl w:val="5028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13013B8D"/>
    <w:multiLevelType w:val="hybridMultilevel"/>
    <w:tmpl w:val="FC80427C"/>
    <w:lvl w:ilvl="0" w:tplc="2312DB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ACB"/>
    <w:multiLevelType w:val="multilevel"/>
    <w:tmpl w:val="058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55138"/>
    <w:multiLevelType w:val="multilevel"/>
    <w:tmpl w:val="2AD47D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06E7D2F"/>
    <w:multiLevelType w:val="hybridMultilevel"/>
    <w:tmpl w:val="7C1E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B12AC"/>
    <w:multiLevelType w:val="multilevel"/>
    <w:tmpl w:val="2E3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C6AC1"/>
    <w:multiLevelType w:val="hybridMultilevel"/>
    <w:tmpl w:val="8B46A6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42"/>
    <w:rsid w:val="001E4ED0"/>
    <w:rsid w:val="0026451E"/>
    <w:rsid w:val="00352E5E"/>
    <w:rsid w:val="008F5840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50A6"/>
  <w15:chartTrackingRefBased/>
  <w15:docId w15:val="{4A6ED467-21C3-4964-817F-FFFE3F5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42"/>
    <w:pPr>
      <w:ind w:left="720"/>
      <w:contextualSpacing/>
    </w:pPr>
  </w:style>
  <w:style w:type="paragraph" w:customStyle="1" w:styleId="labelled">
    <w:name w:val="labelled"/>
    <w:basedOn w:val="Normal"/>
    <w:rsid w:val="00F65342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Council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Hylton</dc:creator>
  <cp:keywords/>
  <dc:description/>
  <cp:lastModifiedBy>Deborah O'Leary</cp:lastModifiedBy>
  <cp:revision>2</cp:revision>
  <dcterms:created xsi:type="dcterms:W3CDTF">2020-09-17T00:13:00Z</dcterms:created>
  <dcterms:modified xsi:type="dcterms:W3CDTF">2020-09-17T00:13:00Z</dcterms:modified>
</cp:coreProperties>
</file>