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882F" w14:textId="259A3ADE" w:rsidR="00FB42E0" w:rsidRPr="00E27035" w:rsidRDefault="0009134B" w:rsidP="00D525A5">
      <w:pPr>
        <w:jc w:val="both"/>
        <w:rPr>
          <w:rFonts w:ascii="Arial" w:hAnsi="Arial" w:cs="Arial"/>
          <w:b/>
          <w:u w:val="single"/>
        </w:rPr>
      </w:pPr>
      <w:r w:rsidRPr="00E27035">
        <w:rPr>
          <w:rFonts w:ascii="Arial" w:hAnsi="Arial" w:cs="Arial"/>
          <w:b/>
          <w:u w:val="single"/>
        </w:rPr>
        <w:t>Questions for Bupa witnesses:</w:t>
      </w:r>
    </w:p>
    <w:p w14:paraId="23493FC6" w14:textId="062DE19E" w:rsidR="00E27035" w:rsidRDefault="00E27035" w:rsidP="00D525A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Richard Stephenson</w:t>
      </w:r>
    </w:p>
    <w:p w14:paraId="29352EE2" w14:textId="4DBFBA92" w:rsidR="00E27035" w:rsidRPr="00E27035" w:rsidRDefault="00E7359F" w:rsidP="00D52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14 </w:t>
      </w:r>
      <w:r>
        <w:rPr>
          <w:rFonts w:ascii="Arial" w:hAnsi="Arial" w:cs="Arial"/>
        </w:rPr>
        <w:tab/>
        <w:t>How do the development contributions compare at this site?</w:t>
      </w:r>
    </w:p>
    <w:p w14:paraId="65A5608B" w14:textId="06E1E635" w:rsidR="0009134B" w:rsidRPr="001A6621" w:rsidRDefault="001A6621" w:rsidP="00D525A5">
      <w:pPr>
        <w:jc w:val="both"/>
        <w:rPr>
          <w:rFonts w:ascii="Arial" w:hAnsi="Arial" w:cs="Arial"/>
          <w:u w:val="single"/>
        </w:rPr>
      </w:pPr>
      <w:r w:rsidRPr="001A6621">
        <w:rPr>
          <w:rFonts w:ascii="Arial" w:hAnsi="Arial" w:cs="Arial"/>
          <w:u w:val="single"/>
        </w:rPr>
        <w:t>Marc Barron</w:t>
      </w:r>
    </w:p>
    <w:p w14:paraId="7AD5E32E" w14:textId="342175A8" w:rsidR="001A6621" w:rsidRDefault="00E27035" w:rsidP="00D52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AB7631" w14:textId="3E7F11D9" w:rsidR="00E27035" w:rsidRPr="00E7359F" w:rsidRDefault="00E7359F" w:rsidP="00D525A5">
      <w:pPr>
        <w:jc w:val="both"/>
        <w:rPr>
          <w:rFonts w:ascii="Arial" w:hAnsi="Arial" w:cs="Arial"/>
          <w:u w:val="single"/>
        </w:rPr>
      </w:pPr>
      <w:r w:rsidRPr="00E7359F">
        <w:rPr>
          <w:rFonts w:ascii="Arial" w:hAnsi="Arial" w:cs="Arial"/>
          <w:u w:val="single"/>
        </w:rPr>
        <w:t>Boyd Wilson</w:t>
      </w:r>
    </w:p>
    <w:p w14:paraId="2BDC8A53" w14:textId="0B974CAA" w:rsidR="00E7359F" w:rsidRDefault="00D525A5" w:rsidP="00D52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14</w:t>
      </w:r>
      <w:r>
        <w:rPr>
          <w:rFonts w:ascii="Arial" w:hAnsi="Arial" w:cs="Arial"/>
        </w:rPr>
        <w:tab/>
        <w:t>Who directed Bupa to the current site?</w:t>
      </w:r>
    </w:p>
    <w:p w14:paraId="4664D945" w14:textId="6BCE570B" w:rsidR="00D525A5" w:rsidRDefault="00D525A5" w:rsidP="00D525A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Para 29</w:t>
      </w:r>
      <w:r>
        <w:rPr>
          <w:rFonts w:ascii="Arial" w:hAnsi="Arial" w:cs="Arial"/>
        </w:rPr>
        <w:tab/>
        <w:t xml:space="preserve">Is the drain side planting </w:t>
      </w:r>
      <w:r w:rsidR="004A2857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to offset water quality effects in the Cross Country Drain or is it merely amenity planting?</w:t>
      </w:r>
    </w:p>
    <w:p w14:paraId="544CD3EA" w14:textId="2B05922B" w:rsidR="00D525A5" w:rsidRDefault="00A45D22" w:rsidP="00D525A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Para 42</w:t>
      </w:r>
      <w:r>
        <w:rPr>
          <w:rFonts w:ascii="Arial" w:hAnsi="Arial" w:cs="Arial"/>
        </w:rPr>
        <w:tab/>
        <w:t xml:space="preserve">This seems at odds with the evidence of </w:t>
      </w:r>
      <w:r w:rsidRPr="00A45D22">
        <w:rPr>
          <w:rFonts w:ascii="Arial" w:hAnsi="Arial" w:cs="Arial"/>
        </w:rPr>
        <w:t>Marc Barron, paragraph 30</w:t>
      </w:r>
      <w:r>
        <w:rPr>
          <w:rFonts w:ascii="Arial" w:hAnsi="Arial" w:cs="Arial"/>
        </w:rPr>
        <w:t>. Please explain?</w:t>
      </w:r>
    </w:p>
    <w:p w14:paraId="0FC54A13" w14:textId="3D0D5575" w:rsidR="00A45D22" w:rsidRPr="00A45D22" w:rsidRDefault="00A45D22" w:rsidP="00D525A5">
      <w:pPr>
        <w:ind w:left="1440" w:hanging="1440"/>
        <w:jc w:val="both"/>
        <w:rPr>
          <w:rFonts w:ascii="Arial" w:hAnsi="Arial" w:cs="Arial"/>
          <w:u w:val="single"/>
        </w:rPr>
      </w:pPr>
      <w:r w:rsidRPr="00A45D22">
        <w:rPr>
          <w:rFonts w:ascii="Arial" w:hAnsi="Arial" w:cs="Arial"/>
          <w:u w:val="single"/>
        </w:rPr>
        <w:t>Paul Murphy</w:t>
      </w:r>
    </w:p>
    <w:p w14:paraId="4394430B" w14:textId="53465153" w:rsidR="00A45D22" w:rsidRDefault="004B06F6" w:rsidP="00D525A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4BAACD65" w14:textId="6637C568" w:rsidR="004B06F6" w:rsidRPr="004B06F6" w:rsidRDefault="004B06F6" w:rsidP="00D525A5">
      <w:pPr>
        <w:ind w:left="1440" w:hanging="1440"/>
        <w:jc w:val="both"/>
        <w:rPr>
          <w:rFonts w:ascii="Arial" w:hAnsi="Arial" w:cs="Arial"/>
          <w:u w:val="single"/>
        </w:rPr>
      </w:pPr>
      <w:r w:rsidRPr="004B06F6">
        <w:rPr>
          <w:rFonts w:ascii="Arial" w:hAnsi="Arial" w:cs="Arial"/>
          <w:u w:val="single"/>
        </w:rPr>
        <w:t>Ian Constable</w:t>
      </w:r>
    </w:p>
    <w:p w14:paraId="2D71DF89" w14:textId="43664B71" w:rsidR="004B06F6" w:rsidRDefault="004B06F6" w:rsidP="00D525A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4669092A" w14:textId="66FF49B2" w:rsidR="004B06F6" w:rsidRPr="004B06F6" w:rsidRDefault="004B06F6" w:rsidP="00D525A5">
      <w:pPr>
        <w:ind w:left="1440" w:hanging="1440"/>
        <w:jc w:val="both"/>
        <w:rPr>
          <w:rFonts w:ascii="Arial" w:hAnsi="Arial" w:cs="Arial"/>
          <w:u w:val="single"/>
        </w:rPr>
      </w:pPr>
      <w:r w:rsidRPr="004B06F6">
        <w:rPr>
          <w:rFonts w:ascii="Arial" w:hAnsi="Arial" w:cs="Arial"/>
          <w:u w:val="single"/>
        </w:rPr>
        <w:t>Greg Knell</w:t>
      </w:r>
    </w:p>
    <w:p w14:paraId="379BBD6F" w14:textId="03A6E847" w:rsidR="00657BCD" w:rsidRPr="00657BCD" w:rsidRDefault="00657BCD" w:rsidP="00896B07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896B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2.5</w:t>
      </w:r>
      <w:r w:rsidR="00896B07">
        <w:rPr>
          <w:rFonts w:ascii="Arial" w:hAnsi="Arial" w:cs="Arial"/>
        </w:rPr>
        <w:t xml:space="preserve"> and 9.18</w:t>
      </w:r>
      <w:r>
        <w:rPr>
          <w:rFonts w:ascii="Arial" w:hAnsi="Arial" w:cs="Arial"/>
        </w:rPr>
        <w:tab/>
        <w:t>Following on from my question to Boyd Wilson above, i</w:t>
      </w:r>
      <w:r w:rsidRPr="00657BCD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 xml:space="preserve">the CCD planting is for amenity purposes and </w:t>
      </w:r>
      <w:r w:rsidR="00F906D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not related to the effects of the proposal on CCD water quality</w:t>
      </w:r>
      <w:r w:rsidR="00F906D4">
        <w:rPr>
          <w:rFonts w:ascii="Arial" w:hAnsi="Arial" w:cs="Arial"/>
        </w:rPr>
        <w:t>, would th</w:t>
      </w:r>
      <w:r w:rsidR="00896B07">
        <w:rPr>
          <w:rFonts w:ascii="Arial" w:hAnsi="Arial" w:cs="Arial"/>
        </w:rPr>
        <w:t>e</w:t>
      </w:r>
      <w:r w:rsidR="00F906D4">
        <w:rPr>
          <w:rFonts w:ascii="Arial" w:hAnsi="Arial" w:cs="Arial"/>
        </w:rPr>
        <w:t xml:space="preserve"> ‘agreed planting’ more appropriately</w:t>
      </w:r>
      <w:r w:rsidR="004A2857">
        <w:rPr>
          <w:rFonts w:ascii="Arial" w:hAnsi="Arial" w:cs="Arial"/>
        </w:rPr>
        <w:t xml:space="preserve"> either </w:t>
      </w:r>
      <w:r w:rsidR="00F906D4">
        <w:rPr>
          <w:rFonts w:ascii="Arial" w:hAnsi="Arial" w:cs="Arial"/>
        </w:rPr>
        <w:t xml:space="preserve">be </w:t>
      </w:r>
      <w:r w:rsidR="004A2857">
        <w:rPr>
          <w:rFonts w:ascii="Arial" w:hAnsi="Arial" w:cs="Arial"/>
        </w:rPr>
        <w:t xml:space="preserve">1) </w:t>
      </w:r>
      <w:r w:rsidR="00F906D4">
        <w:rPr>
          <w:rFonts w:ascii="Arial" w:hAnsi="Arial" w:cs="Arial"/>
        </w:rPr>
        <w:t xml:space="preserve">reflected </w:t>
      </w:r>
      <w:r w:rsidR="00896B07">
        <w:rPr>
          <w:rFonts w:ascii="Arial" w:hAnsi="Arial" w:cs="Arial"/>
        </w:rPr>
        <w:t xml:space="preserve">in the consent document as </w:t>
      </w:r>
      <w:r w:rsidR="00F906D4">
        <w:rPr>
          <w:rFonts w:ascii="Arial" w:hAnsi="Arial" w:cs="Arial"/>
        </w:rPr>
        <w:t>an advice note</w:t>
      </w:r>
      <w:r w:rsidR="004A2857">
        <w:rPr>
          <w:rFonts w:ascii="Arial" w:hAnsi="Arial" w:cs="Arial"/>
        </w:rPr>
        <w:t>,</w:t>
      </w:r>
      <w:r w:rsidR="00F906D4">
        <w:rPr>
          <w:rFonts w:ascii="Arial" w:hAnsi="Arial" w:cs="Arial"/>
        </w:rPr>
        <w:t xml:space="preserve"> or </w:t>
      </w:r>
      <w:r w:rsidR="004A2857">
        <w:rPr>
          <w:rFonts w:ascii="Arial" w:hAnsi="Arial" w:cs="Arial"/>
        </w:rPr>
        <w:t xml:space="preserve">2) </w:t>
      </w:r>
      <w:r w:rsidR="00F906D4">
        <w:rPr>
          <w:rFonts w:ascii="Arial" w:hAnsi="Arial" w:cs="Arial"/>
        </w:rPr>
        <w:t>a</w:t>
      </w:r>
      <w:r w:rsidR="00896B07">
        <w:rPr>
          <w:rFonts w:ascii="Arial" w:hAnsi="Arial" w:cs="Arial"/>
        </w:rPr>
        <w:t>s</w:t>
      </w:r>
      <w:r w:rsidRPr="00657BCD">
        <w:rPr>
          <w:rFonts w:ascii="Arial" w:hAnsi="Arial" w:cs="Arial"/>
        </w:rPr>
        <w:t xml:space="preserve"> </w:t>
      </w:r>
      <w:r w:rsidR="004A2857">
        <w:rPr>
          <w:rFonts w:ascii="Arial" w:hAnsi="Arial" w:cs="Arial"/>
        </w:rPr>
        <w:t xml:space="preserve">a </w:t>
      </w:r>
      <w:r w:rsidRPr="00657BCD">
        <w:rPr>
          <w:rFonts w:ascii="Arial" w:hAnsi="Arial" w:cs="Arial"/>
        </w:rPr>
        <w:t>side agreement with HBRC</w:t>
      </w:r>
      <w:r w:rsidR="00896B07">
        <w:rPr>
          <w:rFonts w:ascii="Arial" w:hAnsi="Arial" w:cs="Arial"/>
        </w:rPr>
        <w:t xml:space="preserve"> outside of the consent document</w:t>
      </w:r>
      <w:r w:rsidRPr="00657BCD">
        <w:rPr>
          <w:rFonts w:ascii="Arial" w:hAnsi="Arial" w:cs="Arial"/>
        </w:rPr>
        <w:t>?</w:t>
      </w:r>
    </w:p>
    <w:p w14:paraId="6ABB1FA8" w14:textId="625B9556" w:rsidR="004B06F6" w:rsidRDefault="00F906D4" w:rsidP="00D525A5">
      <w:pPr>
        <w:ind w:left="1440" w:hanging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Para 8.2</w:t>
      </w:r>
      <w:r>
        <w:rPr>
          <w:rFonts w:ascii="Arial" w:hAnsi="Arial" w:cs="Arial"/>
        </w:rPr>
        <w:tab/>
        <w:t xml:space="preserve">Isn’t </w:t>
      </w:r>
      <w:r w:rsidR="004A2857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the case that the Bupa proposal is clearly inconsistent with a majority of the Rural Zone objectives and policies </w:t>
      </w:r>
      <w:r w:rsidR="004A2857">
        <w:rPr>
          <w:rFonts w:ascii="Arial" w:hAnsi="Arial" w:cs="Arial"/>
        </w:rPr>
        <w:t xml:space="preserve">(understandably </w:t>
      </w:r>
      <w:r>
        <w:rPr>
          <w:rFonts w:ascii="Arial" w:hAnsi="Arial" w:cs="Arial"/>
        </w:rPr>
        <w:t>as it is a non-rural land use), but that is simply one matter to have regard to under a s104 assessment, and is to be weighed against the fact that South Pirimai is a H</w:t>
      </w:r>
      <w:r w:rsidR="004A2857">
        <w:rPr>
          <w:rFonts w:ascii="Arial" w:hAnsi="Arial" w:cs="Arial"/>
        </w:rPr>
        <w:t>PUDS</w:t>
      </w:r>
      <w:r>
        <w:rPr>
          <w:rFonts w:ascii="Arial" w:hAnsi="Arial" w:cs="Arial"/>
        </w:rPr>
        <w:t xml:space="preserve"> 2017 reserve area that is </w:t>
      </w:r>
      <w:r w:rsidR="004A2857">
        <w:rPr>
          <w:rFonts w:ascii="Arial" w:hAnsi="Arial" w:cs="Arial"/>
        </w:rPr>
        <w:t xml:space="preserve">deemed </w:t>
      </w:r>
      <w:r>
        <w:rPr>
          <w:rFonts w:ascii="Arial" w:hAnsi="Arial" w:cs="Arial"/>
        </w:rPr>
        <w:t xml:space="preserve">suitable for </w:t>
      </w:r>
      <w:r w:rsidRPr="00F906D4">
        <w:rPr>
          <w:rFonts w:ascii="Arial" w:hAnsi="Arial" w:cs="Arial"/>
          <w:lang w:val="en-US"/>
        </w:rPr>
        <w:t>retirement village</w:t>
      </w:r>
      <w:r>
        <w:rPr>
          <w:rFonts w:ascii="Arial" w:hAnsi="Arial" w:cs="Arial"/>
          <w:lang w:val="en-US"/>
        </w:rPr>
        <w:t xml:space="preserve">s where they cannot </w:t>
      </w:r>
      <w:r w:rsidRPr="00F906D4">
        <w:rPr>
          <w:rFonts w:ascii="Arial" w:hAnsi="Arial" w:cs="Arial"/>
          <w:lang w:val="en-US"/>
        </w:rPr>
        <w:t xml:space="preserve">reasonably be </w:t>
      </w:r>
      <w:r w:rsidR="004A2857">
        <w:rPr>
          <w:rFonts w:ascii="Arial" w:hAnsi="Arial" w:cs="Arial"/>
          <w:lang w:val="en-US"/>
        </w:rPr>
        <w:t>located</w:t>
      </w:r>
      <w:bookmarkStart w:id="0" w:name="_GoBack"/>
      <w:bookmarkEnd w:id="0"/>
      <w:r w:rsidRPr="00F906D4">
        <w:rPr>
          <w:rFonts w:ascii="Arial" w:hAnsi="Arial" w:cs="Arial"/>
          <w:lang w:val="en-US"/>
        </w:rPr>
        <w:t xml:space="preserve"> within preferred </w:t>
      </w:r>
      <w:r>
        <w:rPr>
          <w:rFonts w:ascii="Arial" w:hAnsi="Arial" w:cs="Arial"/>
          <w:lang w:val="en-US"/>
        </w:rPr>
        <w:t xml:space="preserve">HPUDS </w:t>
      </w:r>
      <w:r w:rsidRPr="00F906D4">
        <w:rPr>
          <w:rFonts w:ascii="Arial" w:hAnsi="Arial" w:cs="Arial"/>
          <w:lang w:val="en-US"/>
        </w:rPr>
        <w:t>greenfields areas</w:t>
      </w:r>
      <w:r>
        <w:rPr>
          <w:rFonts w:ascii="Arial" w:hAnsi="Arial" w:cs="Arial"/>
          <w:lang w:val="en-US"/>
        </w:rPr>
        <w:t>?</w:t>
      </w:r>
    </w:p>
    <w:p w14:paraId="2874AF47" w14:textId="28FD5DB6" w:rsidR="00BD6A49" w:rsidRPr="004A2857" w:rsidRDefault="00896B07" w:rsidP="00D525A5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Para 9.25</w:t>
      </w:r>
      <w:r>
        <w:rPr>
          <w:rFonts w:ascii="Arial" w:hAnsi="Arial" w:cs="Arial"/>
        </w:rPr>
        <w:tab/>
      </w:r>
      <w:r w:rsidR="00BD6A49" w:rsidRPr="004A2857">
        <w:rPr>
          <w:rFonts w:ascii="Arial" w:hAnsi="Arial" w:cs="Arial"/>
          <w:i/>
        </w:rPr>
        <w:t xml:space="preserve">I </w:t>
      </w:r>
      <w:r w:rsidR="004A2857" w:rsidRPr="004A2857">
        <w:rPr>
          <w:rFonts w:ascii="Arial" w:hAnsi="Arial" w:cs="Arial"/>
          <w:i/>
        </w:rPr>
        <w:t>understand that Mr Knell and Mr Lambert for NCC are in the process of finalising a revised suite of conditions that address the matters in my questions arising from the S42A Report.  I may have further questions of clarification when I view that final suite of conditions,</w:t>
      </w:r>
      <w:r w:rsidR="004A2857">
        <w:rPr>
          <w:rFonts w:ascii="Arial" w:hAnsi="Arial" w:cs="Arial"/>
          <w:i/>
        </w:rPr>
        <w:t xml:space="preserve"> so I have not raised any questions here relating to the conditions attached to Mr Knell’s evidence</w:t>
      </w:r>
      <w:r w:rsidR="004A2857" w:rsidRPr="004A2857">
        <w:rPr>
          <w:rFonts w:ascii="Arial" w:hAnsi="Arial" w:cs="Arial"/>
          <w:i/>
        </w:rPr>
        <w:t>.</w:t>
      </w:r>
    </w:p>
    <w:sectPr w:rsidR="00BD6A49" w:rsidRPr="004A2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134B"/>
    <w:rsid w:val="0009134B"/>
    <w:rsid w:val="000B6FCB"/>
    <w:rsid w:val="001A6621"/>
    <w:rsid w:val="003070C2"/>
    <w:rsid w:val="004A2857"/>
    <w:rsid w:val="004B06F6"/>
    <w:rsid w:val="00657BCD"/>
    <w:rsid w:val="006B2400"/>
    <w:rsid w:val="00896B07"/>
    <w:rsid w:val="00A45D22"/>
    <w:rsid w:val="00BD6A49"/>
    <w:rsid w:val="00D525A5"/>
    <w:rsid w:val="00E27035"/>
    <w:rsid w:val="00E7359F"/>
    <w:rsid w:val="00F906D4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AA90"/>
  <w15:chartTrackingRefBased/>
  <w15:docId w15:val="{93AB8AE1-55D8-4C24-BF6A-5700607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3</cp:revision>
  <dcterms:created xsi:type="dcterms:W3CDTF">2018-08-13T01:23:00Z</dcterms:created>
  <dcterms:modified xsi:type="dcterms:W3CDTF">2018-08-13T04:06:00Z</dcterms:modified>
</cp:coreProperties>
</file>